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20"/>
      </w:pPr>
      <w:r>
        <w:rPr>
          <w:rFonts w:ascii="Noto Sans" w:hAnsi="Noto Sans" w:eastAsia="Noto Sans" w:cs="Noto Sans"/>
          <w:sz w:val="32"/>
          <w:szCs w:val="32"/>
          <w:b/>
        </w:rPr>
        <w:t>Пример уговора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Љиљана проверава ћирилична слова: Љ Њ Ћ Ђ Џ.</w:t>
      </w:r>
    </w:p>
    <w:p>
      <w:pPr>
        <w:spacing w:after="220"/>
      </w:pPr>
      <w:r>
        <w:rPr>
          <w:rFonts w:ascii="Noto Sans" w:hAnsi="Noto Sans" w:eastAsia="Noto Sans" w:cs="Noto Sans"/>
          <w:sz w:val="32"/>
          <w:szCs w:val="32"/>
        </w:rPr>
        <w:t>Износ: 125,50</w:t>
      </w:r>
    </w:p>
    <w:sectPr>
      <w:pgSz w:w="11906" w:h="16838"/>
      <w:pgMar w:top="1440" w:right="1440" w:bottom="1440" w:left="1440"/>
    </w:sectPr>
  </w:body>
</w:document>
</file>